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spacing w:before="0" w:beforeAutospacing="0" w:after="225" w:afterAutospacing="0" w:line="480" w:lineRule="atLeast"/>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30"/>
          <w:szCs w:val="30"/>
        </w:rPr>
        <w:t>附件一：</w:t>
      </w:r>
    </w:p>
    <w:p>
      <w:pPr>
        <w:pStyle w:val="6"/>
        <w:keepNext w:val="0"/>
        <w:keepLines w:val="0"/>
        <w:widowControl/>
        <w:suppressLineNumbers w:val="0"/>
        <w:spacing w:before="0" w:beforeAutospacing="0" w:after="225" w:afterAutospacing="0" w:line="480" w:lineRule="atLeast"/>
        <w:ind w:left="0" w:right="0" w:firstLine="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36"/>
          <w:szCs w:val="36"/>
        </w:rPr>
        <w:t>住宅小区公共设施及环境整治修缮区级资金</w:t>
      </w:r>
    </w:p>
    <w:p>
      <w:pPr>
        <w:pStyle w:val="6"/>
        <w:keepNext w:val="0"/>
        <w:keepLines w:val="0"/>
        <w:widowControl/>
        <w:suppressLineNumbers w:val="0"/>
        <w:spacing w:before="0" w:beforeAutospacing="0" w:after="225" w:afterAutospacing="0" w:line="480" w:lineRule="atLeast"/>
        <w:ind w:left="0" w:right="0" w:firstLine="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36"/>
          <w:szCs w:val="36"/>
        </w:rPr>
        <w:t>财政支出绩效自评报告</w:t>
      </w:r>
    </w:p>
    <w:p>
      <w:pPr>
        <w:keepNext w:val="0"/>
        <w:keepLines w:val="0"/>
        <w:widowControl/>
        <w:suppressLineNumbers w:val="0"/>
        <w:spacing w:before="0" w:beforeAutospacing="0" w:after="225" w:afterAutospacing="0" w:line="480" w:lineRule="atLeast"/>
        <w:ind w:left="0" w:right="0" w:firstLine="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18"/>
          <w:szCs w:val="18"/>
          <w:lang w:val="en-US" w:eastAsia="zh-CN" w:bidi="ar"/>
        </w:rPr>
        <w:t> </w:t>
      </w:r>
    </w:p>
    <w:p>
      <w:pPr>
        <w:pStyle w:val="6"/>
        <w:keepNext w:val="0"/>
        <w:keepLines w:val="0"/>
        <w:widowControl/>
        <w:suppressLineNumbers w:val="0"/>
        <w:spacing w:before="0" w:beforeAutospacing="0" w:after="225" w:afterAutospacing="0" w:line="560" w:lineRule="atLeast"/>
        <w:ind w:left="0" w:right="0" w:firstLine="56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一、</w:t>
      </w:r>
      <w:r>
        <w:rPr>
          <w:rFonts w:hint="eastAsia" w:ascii="宋体" w:hAnsi="宋体" w:eastAsia="宋体" w:cs="宋体"/>
          <w:b/>
          <w:bCs/>
          <w:i w:val="0"/>
          <w:iCs w:val="0"/>
          <w:caps w:val="0"/>
          <w:color w:val="000000"/>
          <w:spacing w:val="0"/>
          <w:sz w:val="28"/>
          <w:szCs w:val="28"/>
        </w:rPr>
        <w:t>项目概况</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（一）项目实施情况</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1、项目实施背景</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该项目根据《湖里区人民政府办公室关于印发湖里区住宅小区公共设施及环境专项整治文明创建应急项目实施工作机制的通知》开展，成立于2022年，项目资金主要用于全面整治提升湖里区禾山街道住宅小区公共设施及环境卫生。聚焦小区建筑物外立面、路灯、地面、绿化、垃圾分类，楼道照明、楼道窗户玻璃、楼道墙面以及消防设施、健身场地设施、无障碍设施、水表电表箱体、电动自行车集中充电停放设施等缺失、损坏问题，加大力度维修更新改造，同时强化日常维护管理，提升小区居住环境品质。</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2、主要依据</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（1）《湖里区人民政府办公室关于印发湖里区住宅小区公共设施及环境专项整治文明创建应急项目实施工作机制的通知》（厦湖府办〔2022〕38号）；</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（2）《厦门市住宅小区公共设施及环境专项整治工作方案》（厦府办发明电〔2022〕15号）。</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3、实施年度</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本项目实施年度为2022年。</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4、实施范围</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经费主要用于湖里区禾山街道范围内57个住宅小区，包括小区建筑物外立面、路灯、地面、绿化、垃圾分类，楼道照明、楼道窗户玻璃、楼道墙面以及消防设施、健身场地设施、无障碍设施、水表电表箱体、电动自行车集中充电停放设施等缺失、损坏问题。</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5、实施程序</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纳入年度绩效管理中，根据项目实际情况建立年初预算绩效申报，编制绩效目标。年中进行项目监控，及时掌握工程进度。禾山街道办事处按照财政投融资管理办法执行，按照有关规定确定施工方，并签订施工合同，并严格按照合同及相关规定支付工程进度款。</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（二）财政支出情况</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1、 </w:t>
      </w:r>
      <w:r>
        <w:rPr>
          <w:rFonts w:hint="eastAsia" w:ascii="宋体" w:hAnsi="宋体" w:eastAsia="宋体" w:cs="宋体"/>
          <w:b/>
          <w:bCs/>
          <w:i w:val="0"/>
          <w:iCs w:val="0"/>
          <w:caps w:val="0"/>
          <w:color w:val="000000"/>
          <w:spacing w:val="0"/>
          <w:sz w:val="28"/>
          <w:szCs w:val="28"/>
        </w:rPr>
        <w:t>支出预算情况</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2022年本项目年初预算0.00万元，预算追加1,404.00万元，总预算1,404.00万元，实际支付183.95万元。</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2、 </w:t>
      </w:r>
      <w:r>
        <w:rPr>
          <w:rFonts w:hint="eastAsia" w:ascii="宋体" w:hAnsi="宋体" w:eastAsia="宋体" w:cs="宋体"/>
          <w:b/>
          <w:bCs/>
          <w:i w:val="0"/>
          <w:iCs w:val="0"/>
          <w:caps w:val="0"/>
          <w:color w:val="000000"/>
          <w:spacing w:val="0"/>
          <w:sz w:val="28"/>
          <w:szCs w:val="28"/>
        </w:rPr>
        <w:t>资金使用范围对象</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本项目资金全部用于住宅小区公共设施及环境整治修缮，共计183.95万元。</w:t>
      </w:r>
    </w:p>
    <w:tbl>
      <w:tblPr>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3772"/>
        <w:gridCol w:w="585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rPr>
          <w:trHeight w:val="464" w:hRule="atLeast"/>
        </w:trPr>
        <w:tc>
          <w:tcPr>
            <w:tcW w:w="6062" w:type="dxa"/>
            <w:tcBorders>
              <w:top w:val="single" w:color="auto" w:sz="8" w:space="0"/>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firstLine="480"/>
              <w:jc w:val="center"/>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项  目</w:t>
            </w:r>
          </w:p>
        </w:tc>
        <w:tc>
          <w:tcPr>
            <w:tcW w:w="2999" w:type="dxa"/>
            <w:tcBorders>
              <w:top w:val="single" w:color="auto" w:sz="8" w:space="0"/>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center"/>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金  额（单位：万元）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rPr>
          <w:trHeight w:val="939" w:hRule="atLeast"/>
        </w:trPr>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御之苑住宅小区公共设施及环境整治文明创建应急项目工程进度款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5.52</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rPr>
          <w:trHeight w:val="699" w:hRule="atLeast"/>
        </w:trPr>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五缘尊府住宅小区公共设施及环境整治文明创建应急项目工程进度款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8.65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rPr>
          <w:trHeight w:val="731" w:hRule="atLeast"/>
        </w:trPr>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新景龙郡住宅小区公共设施及环境整治文明创建应急项目工程进度款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11.75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东海山庄住宅小区公共设施及环境整治文明创建应急项目工程进度款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7.25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rPr>
          <w:trHeight w:val="838" w:hRule="atLeast"/>
        </w:trPr>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武警水电小区住宅小区公共设施及环境整治文明创建应急项目工程进度款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6.92</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15" w:type="dxa"/>
            <w:left w:w="15" w:type="dxa"/>
            <w:bottom w:w="15" w:type="dxa"/>
            <w:right w:w="15" w:type="dxa"/>
          </w:tblCellMar>
        </w:tblPrEx>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双鲤新城住宅小区公共设施及环境整治文明创建应急项目工程进度款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                     47.50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源昌鑫海湾住宅小区公共设施及环境整治文明创建应急项目工程进度款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13.87</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阳光公寓一期住宅小区公共设施及环境整治文明创建应急项目工程进度款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46.00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834" w:hRule="atLeast"/>
        </w:trPr>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太古生活区住宅小区公共设施及环境整治文明创建应急项目工程进度款</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36.49</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c>
          <w:tcPr>
            <w:tcW w:w="6062"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firstLine="480"/>
              <w:jc w:val="center"/>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合  计</w:t>
            </w:r>
          </w:p>
        </w:tc>
        <w:tc>
          <w:tcPr>
            <w:tcW w:w="299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keepNext w:val="0"/>
              <w:keepLines w:val="0"/>
              <w:widowControl/>
              <w:suppressLineNumbers w:val="0"/>
              <w:spacing w:before="0" w:beforeAutospacing="0" w:after="0" w:afterAutospacing="1" w:line="5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4"/>
                <w:szCs w:val="24"/>
                <w:lang w:val="en-US" w:eastAsia="zh-CN" w:bidi="ar"/>
              </w:rPr>
              <w:t>183.95</w:t>
            </w:r>
          </w:p>
        </w:tc>
      </w:tr>
    </w:tbl>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3、 </w:t>
      </w:r>
      <w:r>
        <w:rPr>
          <w:rFonts w:hint="eastAsia" w:ascii="宋体" w:hAnsi="宋体" w:eastAsia="宋体" w:cs="宋体"/>
          <w:b/>
          <w:bCs/>
          <w:i w:val="0"/>
          <w:iCs w:val="0"/>
          <w:caps w:val="0"/>
          <w:color w:val="000000"/>
          <w:spacing w:val="0"/>
          <w:sz w:val="28"/>
          <w:szCs w:val="28"/>
        </w:rPr>
        <w:t>分配标准、程序</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本项目资金严格按照项目工程实施进度、《禾山街道财务管理制度》及各个标段的财审文件进行拨付。</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4、 </w:t>
      </w:r>
      <w:r>
        <w:rPr>
          <w:rFonts w:hint="eastAsia" w:ascii="宋体" w:hAnsi="宋体" w:eastAsia="宋体" w:cs="宋体"/>
          <w:b/>
          <w:bCs/>
          <w:i w:val="0"/>
          <w:iCs w:val="0"/>
          <w:caps w:val="0"/>
          <w:color w:val="000000"/>
          <w:spacing w:val="0"/>
          <w:sz w:val="28"/>
          <w:szCs w:val="28"/>
        </w:rPr>
        <w:t>资金管控情况</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本项目资金严格按照《禾山街道财务管理制度》，结合项目实施进度拨付资金，实行财务专账管理，保证专项资金的安全有效使用，从事前、事中、事后方面考核工作，确保资金专款专用，依法依规。</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5、 </w:t>
      </w:r>
      <w:r>
        <w:rPr>
          <w:rFonts w:hint="eastAsia" w:ascii="宋体" w:hAnsi="宋体" w:eastAsia="宋体" w:cs="宋体"/>
          <w:b/>
          <w:bCs/>
          <w:i w:val="0"/>
          <w:iCs w:val="0"/>
          <w:caps w:val="0"/>
          <w:color w:val="000000"/>
          <w:spacing w:val="0"/>
          <w:sz w:val="28"/>
          <w:szCs w:val="28"/>
        </w:rPr>
        <w:t>支出政策执行</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严格按照《湖里区人民政府办公室关于印发湖里区住宅小区公共设施及环境专项整治文明创建应急项目实施工作机制的通知》（厦湖府办〔2022〕38号）、《厦门市住宅小区公共设施及环境专项整治工作方案》（厦府办发明电〔2022〕15号）等政策文件执行。</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6、 </w:t>
      </w:r>
      <w:r>
        <w:rPr>
          <w:rFonts w:hint="eastAsia" w:ascii="宋体" w:hAnsi="宋体" w:eastAsia="宋体" w:cs="宋体"/>
          <w:b/>
          <w:bCs/>
          <w:i w:val="0"/>
          <w:iCs w:val="0"/>
          <w:caps w:val="0"/>
          <w:color w:val="000000"/>
          <w:spacing w:val="0"/>
          <w:sz w:val="28"/>
          <w:szCs w:val="28"/>
        </w:rPr>
        <w:t>支出分担体制</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本项目资金由区财政局承担。</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二、绩效分析</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（一）项目效益分析</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1、任务完成情况及绩效目标实现情况</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截至2022年12月，本项目共支出183.95万元，支出率为13.10%。文明创建应急项目工程进度款及时拨付，下拨及时率为100.00%</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2、项目实施带动的经济效益、社会效益、可持续效益</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为进一步完善住宅小区公共设施，改善居民居住生活环境，创建全国文明典范城市。</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3、项目实施带动的公众满意度</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居民满意度≧95。</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（二）支出效益分析。</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1、支出进度</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2022年本项目年初无预算，预算追加1,404.00万元，总预算1,404.00万元，实际授权支付数183.95万元，支出进度达到13.10%。</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2、支出效率</w:t>
      </w:r>
    </w:p>
    <w:p>
      <w:pPr>
        <w:keepNext w:val="0"/>
        <w:keepLines w:val="0"/>
        <w:widowControl/>
        <w:suppressLineNumbers w:val="0"/>
        <w:spacing w:before="0" w:beforeAutospacing="0" w:after="225" w:afterAutospacing="0" w:line="48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截至2022年12月，本项目已支出183.95万元，支出进度达到13.10%，支出效率相对缓慢。</w:t>
      </w:r>
    </w:p>
    <w:p>
      <w:pPr>
        <w:keepNext w:val="0"/>
        <w:keepLines w:val="0"/>
        <w:widowControl/>
        <w:suppressLineNumbers w:val="0"/>
        <w:spacing w:before="0" w:beforeAutospacing="0" w:after="225" w:afterAutospacing="0" w:line="440" w:lineRule="atLeast"/>
        <w:ind w:left="0" w:right="0" w:firstLine="56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3、支出规范</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根据项目实际情况，严格按照项目标准拨付资金，做到实报实销，结余资金返回区财政局，做到项目资金支出与项目实际进度同步。</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4、成本控制分析及效益情况</w:t>
      </w:r>
    </w:p>
    <w:p>
      <w:pPr>
        <w:keepNext w:val="0"/>
        <w:keepLines w:val="0"/>
        <w:widowControl/>
        <w:suppressLineNumbers w:val="0"/>
        <w:spacing w:before="0" w:beforeAutospacing="0" w:after="225" w:afterAutospacing="0" w:line="360" w:lineRule="atLeast"/>
        <w:ind w:left="0" w:right="0" w:firstLine="646"/>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预算1,404.00万元，项目资金严格按照项目进度进行支付，不存在重复支付，项目资金支出率13.10%。本项目实施过程中严格控制经费支出，严格按照合同和相关规定支付工程进度款。资金无占用、挪用的情况，资金支付依据、支付方式、开支标准、支付进度等符合相关规定。住宅小区公共设施及环境整治修缮，改善小区内景观环境，党员群众活动场所环境，探索新形势下的小区治理，打造和谐有序、温馨安全、绿色文明、创新包容的小区，提供便民服务，为辖区居民提升生活品质。</w:t>
      </w:r>
    </w:p>
    <w:p>
      <w:pPr>
        <w:keepNext w:val="0"/>
        <w:keepLines w:val="0"/>
        <w:widowControl/>
        <w:suppressLineNumbers w:val="0"/>
        <w:spacing w:before="0" w:beforeAutospacing="0" w:after="225" w:afterAutospacing="0" w:line="440" w:lineRule="atLeast"/>
        <w:ind w:left="0" w:right="0" w:firstLine="56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（三）评价分值和等级</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根据上述分析，确定本项目绩效评价分值95分，等级为优。</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三、存在问题</w:t>
      </w:r>
    </w:p>
    <w:p>
      <w:pPr>
        <w:keepNext w:val="0"/>
        <w:keepLines w:val="0"/>
        <w:widowControl/>
        <w:suppressLineNumbers w:val="0"/>
        <w:spacing w:before="0" w:beforeAutospacing="0" w:after="225" w:afterAutospacing="0" w:line="560" w:lineRule="atLeast"/>
        <w:ind w:left="0" w:right="0" w:firstLine="645"/>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（一）项目实施存在的问题</w:t>
      </w:r>
    </w:p>
    <w:p>
      <w:pPr>
        <w:keepNext w:val="0"/>
        <w:keepLines w:val="0"/>
        <w:widowControl/>
        <w:suppressLineNumbers w:val="0"/>
        <w:spacing w:before="0" w:beforeAutospacing="0" w:after="225" w:afterAutospacing="0" w:line="360" w:lineRule="atLeast"/>
        <w:ind w:left="0" w:right="0" w:firstLine="646"/>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项目属于政府临时项目，项目周期较短，项目结算方式为在项目验收完成后，参建单位提交项目完整资料，由我社区工作人员进行审核，符合条件的项目，支付50%的项目款，后经结算单位审核无误后，支付剩余50%的项目款。参建单位在完成项目实体建设后，还需要花费较长时间进行项目资料的整理和提交，并通过我社工作人员的审核和结算单位审核，才能够取得项目结算金额，故而，截至目前，尚未有参建单位完成全部工作并取得项目款，导致我方预算支出缓慢。</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（二）财政支出存在的问题</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本项目资金分配严格按照文件精神执行，根据合同和相关规定支付工程进度款，有效把控资金，提高资金使用效率，资金无占用、挪用的情况，财政支出无问题</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（三）支出政策制定方面存在的问题</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本项目资金使用产生效益，并按照相关政策执行，财政支出政策无问题。</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四、相关建议</w:t>
      </w:r>
    </w:p>
    <w:p>
      <w:pPr>
        <w:keepNext w:val="0"/>
        <w:keepLines w:val="0"/>
        <w:widowControl/>
        <w:suppressLineNumbers w:val="0"/>
        <w:spacing w:before="0" w:beforeAutospacing="0" w:after="225" w:afterAutospacing="0" w:line="3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按财政资金管理的有关规定科学地编制项目预算，设定绩效目标。根据设定的绩效目标进一步完善修改绩效指标，确保各类指标清晰。</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五、下一步工作计划</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1、加快工程进度。督促施工单位，对照时间节点，倒排施工计划，合理安排工序，进一步提高施工效率。针对每一个项目存在的问题，与施工单位共同研究对策，一起解决难题，加快推进项目进度。</w:t>
      </w:r>
    </w:p>
    <w:p>
      <w:pPr>
        <w:keepNext w:val="0"/>
        <w:keepLines w:val="0"/>
        <w:widowControl/>
        <w:suppressLineNumbers w:val="0"/>
        <w:spacing w:before="0" w:beforeAutospacing="0" w:after="225" w:afterAutospacing="0" w:line="3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2、加强质量监管。深入项目工地，实地一线监管，认真把好工程质量关和施工安全关，做到全过程监督，保证工程质量安全。</w:t>
      </w:r>
    </w:p>
    <w:p>
      <w:pPr>
        <w:keepNext w:val="0"/>
        <w:keepLines w:val="0"/>
        <w:widowControl/>
        <w:suppressLineNumbers w:val="0"/>
        <w:spacing w:before="0" w:beforeAutospacing="0" w:after="225" w:afterAutospacing="0" w:line="480" w:lineRule="atLeast"/>
        <w:ind w:left="0" w:right="0" w:firstLine="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3、强化日常管控。加强日常监督管理，完善项目调度推进机制，动态收集进度，及时上报信息，有力有序推进各项工作措施的落实，确保按时保质完成年度目标任务。</w:t>
      </w:r>
    </w:p>
    <w:p>
      <w:pPr>
        <w:adjustRightInd w:val="0"/>
        <w:snapToGrid w:val="0"/>
        <w:spacing w:line="360" w:lineRule="auto"/>
        <w:ind w:firstLine="560" w:firstLineChars="200"/>
        <w:outlineLvl w:val="0"/>
        <w:rPr>
          <w:rFonts w:ascii="宋体" w:hAnsi="宋体"/>
          <w:kern w:val="44"/>
          <w:sz w:val="28"/>
          <w:szCs w:val="28"/>
        </w:rPr>
      </w:pPr>
      <w:bookmarkStart w:id="0" w:name="_GoBack"/>
      <w:bookmarkEnd w:id="0"/>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098F"/>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C5B"/>
    <w:rsid w:val="00135F6D"/>
    <w:rsid w:val="001410E9"/>
    <w:rsid w:val="00141CAC"/>
    <w:rsid w:val="00143228"/>
    <w:rsid w:val="00143CB6"/>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35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10"/>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C6C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25D"/>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26E"/>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613"/>
    <w:rsid w:val="004E6846"/>
    <w:rsid w:val="004E6AA0"/>
    <w:rsid w:val="004E6CEF"/>
    <w:rsid w:val="004E7608"/>
    <w:rsid w:val="004F0DD4"/>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4C67"/>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E7CB7"/>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49D8"/>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816"/>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9A"/>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5B85"/>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0F1"/>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C4"/>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D35"/>
    <w:rsid w:val="00D711C3"/>
    <w:rsid w:val="00D711F0"/>
    <w:rsid w:val="00D722EF"/>
    <w:rsid w:val="00D75F81"/>
    <w:rsid w:val="00D77AD1"/>
    <w:rsid w:val="00D80149"/>
    <w:rsid w:val="00D804D9"/>
    <w:rsid w:val="00D80661"/>
    <w:rsid w:val="00D80684"/>
    <w:rsid w:val="00D809F1"/>
    <w:rsid w:val="00D827DA"/>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358E"/>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6AB9"/>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95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4B7B5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uiPriority w:val="99"/>
    <w:rPr>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qFormat/>
    <w:uiPriority w:val="0"/>
    <w:rPr>
      <w:rFonts w:ascii="仿宋_GB2312" w:hAnsi="Times New Roman" w:eastAsia="仿宋_GB2312" w:cs="Times New Roman"/>
      <w:bCs/>
      <w:snapToGrid w:val="0"/>
      <w:kern w:val="0"/>
      <w:szCs w:val="21"/>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qFormat/>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6</Pages>
  <Words>427</Words>
  <Characters>2439</Characters>
  <Lines>20</Lines>
  <Paragraphs>5</Paragraphs>
  <TotalTime>323</TotalTime>
  <ScaleCrop>false</ScaleCrop>
  <LinksUpToDate>false</LinksUpToDate>
  <CharactersWithSpaces>2861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2024-04-22T01:35:48Z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825111D217704BCFB19AB7FCEC74D4C3</vt:lpwstr>
  </property>
</Properties>
</file>